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Formatting and Page Limits: The Project Narrative should be no more than 30 pages in length, single spaced, Times New Roman or Arial 11 point font, submitted as an upload or open form. Please organize the narrative using the headings below and consecutively number all pages.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Part 1</w:t>
        <w:tab/>
        <w:t xml:space="preserve">LMB Roles and Functions</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Describe how the LMB’s unique local capacity and position enable it to serve as a backbone organization driving systems change to reduce childhood poverty and increase economic mobility in its jurisdiction.</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Detail the LMB’s systems change efforts to date, including examples of successful strategies and local impact, and explain how the LMB plans to build on this work in the future.</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Identify how the LMB adheres to an evidence-based model or governance framework to guide its systems change approach (e.g., collective impact, two-generation approach, theory of action).</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List the current asset mapping and needs assessment resources and processes the LMB uses to inform funding, when these reports/plans were last updated, and the LMB’s process for continued analysis of service gaps in FY27.</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Explain how the LMB uses disaggregated local data (by race and ethnicity, when available) to identify disparities and guide systems change efforts.</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Explain how individuals with lived experience manage, supervise, advise, and/or influence LMB priorities, policies, and investments.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Part 2</w:t>
        <w:tab/>
        <w:t xml:space="preserve">High Poverty Community Prioritization</w:t>
      </w:r>
    </w:p>
    <w:p w:rsidR="00000000" w:rsidDel="00000000" w:rsidP="00000000" w:rsidRDefault="00000000" w:rsidRPr="00000000" w14:paraId="0000000C">
      <w:pPr>
        <w:widowControl w:val="0"/>
        <w:numPr>
          <w:ilvl w:val="0"/>
          <w:numId w:val="1"/>
        </w:numPr>
        <w:spacing w:line="240" w:lineRule="auto"/>
        <w:ind w:left="720" w:hanging="360"/>
        <w:rPr/>
      </w:pPr>
      <w:r w:rsidDel="00000000" w:rsidR="00000000" w:rsidRPr="00000000">
        <w:rPr>
          <w:rtl w:val="0"/>
        </w:rPr>
        <w:t xml:space="preserve">Identify the name and Census tract(s) of the community(ies) in your county with the highest rates of child poverty that you propose to serve.</w:t>
      </w:r>
    </w:p>
    <w:p w:rsidR="00000000" w:rsidDel="00000000" w:rsidP="00000000" w:rsidRDefault="00000000" w:rsidRPr="00000000" w14:paraId="0000000D">
      <w:pPr>
        <w:widowControl w:val="0"/>
        <w:numPr>
          <w:ilvl w:val="0"/>
          <w:numId w:val="1"/>
        </w:numPr>
        <w:spacing w:line="240" w:lineRule="auto"/>
        <w:ind w:left="720" w:hanging="360"/>
        <w:rPr/>
      </w:pPr>
      <w:r w:rsidDel="00000000" w:rsidR="00000000" w:rsidRPr="00000000">
        <w:rPr>
          <w:rtl w:val="0"/>
        </w:rPr>
        <w:t xml:space="preserve">Provide a brief history and present day description of the community(ies) you propose to serve. In your response, identify historic and/or root causes of child poverty in the community. (250 words maximum)</w:t>
      </w:r>
    </w:p>
    <w:p w:rsidR="00000000" w:rsidDel="00000000" w:rsidP="00000000" w:rsidRDefault="00000000" w:rsidRPr="00000000" w14:paraId="0000000E">
      <w:pPr>
        <w:widowControl w:val="0"/>
        <w:numPr>
          <w:ilvl w:val="0"/>
          <w:numId w:val="1"/>
        </w:numPr>
        <w:spacing w:line="240" w:lineRule="auto"/>
        <w:ind w:left="720" w:hanging="360"/>
        <w:rPr/>
      </w:pPr>
      <w:r w:rsidDel="00000000" w:rsidR="00000000" w:rsidRPr="00000000">
        <w:rPr>
          <w:rtl w:val="0"/>
        </w:rPr>
        <w:t xml:space="preserve">Describe the key organizations, including the LMB, currently engaged in the proposed community(ies) and your collective history of engagement in this focus neighborhood. Detail how partners currently collaborate, cross-refer, or deliver services together, citing any past collaborative outcomes that demonstrate readiness to advance the ENOUGH Theory of Action. (350 words maximum)</w:t>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Part 3</w:t>
        <w:tab/>
        <w:t xml:space="preserve">Program Strategies, Alignment and Impact</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Using the </w:t>
      </w:r>
      <w:r w:rsidDel="00000000" w:rsidR="00000000" w:rsidRPr="00000000">
        <w:rPr>
          <w:b w:val="1"/>
          <w:bCs w:val="1"/>
          <w:rtl w:val="0"/>
        </w:rPr>
        <w:t xml:space="preserve">CCIF-funded programs and strategies template</w:t>
      </w:r>
      <w:r w:rsidDel="00000000" w:rsidR="00000000" w:rsidRPr="00000000">
        <w:rPr>
          <w:rtl w:val="0"/>
        </w:rPr>
        <w:t xml:space="preserve">, identify all programs and strategies, their alignment with the Community Support Initiatives, and evidence-based outcomes based on the</w:t>
      </w:r>
      <w:r w:rsidDel="00000000" w:rsidR="00000000" w:rsidRPr="00000000">
        <w:rPr>
          <w:b w:val="1"/>
          <w:bCs w:val="1"/>
          <w:rtl w:val="0"/>
        </w:rPr>
        <w:t xml:space="preserve"> </w:t>
      </w:r>
      <w:r w:rsidDel="00000000" w:rsidR="00000000" w:rsidRPr="00000000">
        <w:rPr>
          <w:b w:val="1"/>
          <w:bCs w:val="1"/>
          <w:rtl w:val="0"/>
        </w:rPr>
        <w:t xml:space="preserve">Resource for Identifying and Evaluating Evidence-Based Programs</w:t>
      </w:r>
      <w:r w:rsidDel="00000000" w:rsidR="00000000" w:rsidRPr="00000000">
        <w:rPr>
          <w:b w:val="1"/>
          <w:bCs w:val="1"/>
          <w:rtl w:val="0"/>
        </w:rPr>
        <w:t xml:space="preserve">.</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Identify and outline any CCIF-funded programs that are not technically “evidence-based” </w:t>
      </w:r>
      <w:r w:rsidDel="00000000" w:rsidR="00000000" w:rsidRPr="00000000">
        <w:rPr>
          <w:rtl w:val="0"/>
        </w:rPr>
        <w:t xml:space="preserve">or “evidence-informed,”</w:t>
      </w:r>
      <w:r w:rsidDel="00000000" w:rsidR="00000000" w:rsidRPr="00000000">
        <w:rPr>
          <w:rtl w:val="0"/>
        </w:rPr>
        <w:t xml:space="preserve"> provide a brief rationale for their inclusion in your FY27 strategy/budget, and their alignment with the Community Support Initiatives.</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Describe any proposed FY27 programs and strategies aligned with the local community/strategic plan for communities with high concentrations of poverty (as applicable)</w:t>
      </w:r>
    </w:p>
    <w:p w:rsidR="00000000" w:rsidDel="00000000" w:rsidP="00000000" w:rsidRDefault="00000000" w:rsidRPr="00000000" w14:paraId="00000014">
      <w:pPr>
        <w:widowControl w:val="0"/>
        <w:numPr>
          <w:ilvl w:val="0"/>
          <w:numId w:val="1"/>
        </w:numPr>
        <w:spacing w:line="240" w:lineRule="auto"/>
        <w:ind w:left="720" w:hanging="360"/>
        <w:rPr/>
      </w:pPr>
      <w:r w:rsidDel="00000000" w:rsidR="00000000" w:rsidRPr="00000000">
        <w:rPr>
          <w:rtl w:val="0"/>
        </w:rPr>
        <w:t xml:space="preserve">Local All-of-Government Approach</w:t>
      </w:r>
    </w:p>
    <w:p w:rsidR="00000000" w:rsidDel="00000000" w:rsidP="00000000" w:rsidRDefault="00000000" w:rsidRPr="00000000" w14:paraId="00000015">
      <w:pPr>
        <w:widowControl w:val="0"/>
        <w:spacing w:line="240" w:lineRule="auto"/>
        <w:ind w:left="720" w:firstLine="0"/>
        <w:rPr/>
      </w:pPr>
      <w:r w:rsidDel="00000000" w:rsidR="00000000" w:rsidRPr="00000000">
        <w:rPr>
          <w:rtl w:val="0"/>
        </w:rPr>
        <w:t xml:space="preserve">Describe how the LMB will serve as the </w:t>
      </w:r>
      <w:r w:rsidDel="00000000" w:rsidR="00000000" w:rsidRPr="00000000">
        <w:rPr>
          <w:b w:val="1"/>
          <w:bCs w:val="1"/>
          <w:rtl w:val="0"/>
        </w:rPr>
        <w:t xml:space="preserve">Jurisdictional Quarterback</w:t>
      </w:r>
      <w:r w:rsidDel="00000000" w:rsidR="00000000" w:rsidRPr="00000000">
        <w:rPr>
          <w:rtl w:val="0"/>
        </w:rPr>
        <w:t xml:space="preserve"> to support ENOUGH Quarterbacks and other high-poverty communities. Detail the core functions your LMB will perform for systems coordination and barrier removal, such as identifying aligned funding opportunities, building relationships, and state-level escalation and support.</w:t>
      </w:r>
    </w:p>
    <w:p w:rsidR="00000000" w:rsidDel="00000000" w:rsidP="00000000" w:rsidRDefault="00000000" w:rsidRPr="00000000" w14:paraId="00000016">
      <w:pPr>
        <w:widowControl w:val="0"/>
        <w:numPr>
          <w:ilvl w:val="0"/>
          <w:numId w:val="1"/>
        </w:numPr>
        <w:spacing w:line="240" w:lineRule="auto"/>
        <w:ind w:left="720" w:hanging="360"/>
        <w:rPr/>
      </w:pPr>
      <w:r w:rsidDel="00000000" w:rsidR="00000000" w:rsidRPr="00000000">
        <w:rPr>
          <w:rtl w:val="0"/>
        </w:rPr>
        <w:t xml:space="preserve">Capacity Building</w:t>
      </w:r>
    </w:p>
    <w:p w:rsidR="00000000" w:rsidDel="00000000" w:rsidP="00000000" w:rsidRDefault="00000000" w:rsidRPr="00000000" w14:paraId="00000017">
      <w:pPr>
        <w:widowControl w:val="0"/>
        <w:spacing w:line="240" w:lineRule="auto"/>
        <w:ind w:left="720" w:firstLine="0"/>
        <w:rPr/>
      </w:pPr>
      <w:r w:rsidDel="00000000" w:rsidR="00000000" w:rsidRPr="00000000">
        <w:rPr>
          <w:rtl w:val="0"/>
        </w:rPr>
        <w:t xml:space="preserve">Describe any capacity building activities and technical assistance you will implement including how needs were identified and potential barriers to delivering necessary support.</w:t>
      </w:r>
      <w:r w:rsidDel="00000000" w:rsidR="00000000" w:rsidRPr="00000000">
        <w:rPr>
          <w:rtl w:val="0"/>
        </w:rPr>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Benefits Access (as applicable)</w:t>
      </w:r>
    </w:p>
    <w:p w:rsidR="00000000" w:rsidDel="00000000" w:rsidP="00000000" w:rsidRDefault="00000000" w:rsidRPr="00000000" w14:paraId="00000019">
      <w:pPr>
        <w:ind w:left="720" w:firstLine="0"/>
        <w:rPr/>
      </w:pPr>
      <w:r w:rsidDel="00000000" w:rsidR="00000000" w:rsidRPr="00000000">
        <w:rPr>
          <w:rtl w:val="0"/>
        </w:rPr>
        <w:t xml:space="preserve">Describe how the LMB will expand access to economic and tax benefits—particularly high-impact supports such as the EITC and CTC—reduce barriers to enrollment or re-enrollment, and strengthen benefits navigation systems to advance economic opportunity in the jurisdiction.</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Community Schools (as applicable)</w:t>
      </w:r>
    </w:p>
    <w:p w:rsidR="00000000" w:rsidDel="00000000" w:rsidP="00000000" w:rsidRDefault="00000000" w:rsidRPr="00000000" w14:paraId="0000001B">
      <w:pPr>
        <w:ind w:left="720" w:firstLine="0"/>
        <w:rPr/>
      </w:pPr>
      <w:r w:rsidDel="00000000" w:rsidR="00000000" w:rsidRPr="00000000">
        <w:rPr>
          <w:rtl w:val="0"/>
        </w:rPr>
        <w:t xml:space="preserve">Describe how the LMB will collaborate with the LEA, local community schools, community stakeholders, and families in support of high-quality community school implementation and increasing wraparound services.</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Young Men and Boys (as applicable)</w:t>
      </w:r>
    </w:p>
    <w:p w:rsidR="00000000" w:rsidDel="00000000" w:rsidP="00000000" w:rsidRDefault="00000000" w:rsidRPr="00000000" w14:paraId="0000001D">
      <w:pPr>
        <w:ind w:left="720" w:firstLine="0"/>
        <w:rPr/>
      </w:pPr>
      <w:r w:rsidDel="00000000" w:rsidR="00000000" w:rsidRPr="00000000">
        <w:rPr>
          <w:rtl w:val="0"/>
        </w:rPr>
        <w:t xml:space="preserve">Describe how the LMB will support the Young Men and Boys Initiative, particularly in the connection to and expansion of mental health support and workforce development for young men in the jurisdiction.</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Big Brothers, Big Sisters Community-Based Mentoring Program (as applicable)</w:t>
      </w:r>
    </w:p>
    <w:p w:rsidR="00000000" w:rsidDel="00000000" w:rsidP="00000000" w:rsidRDefault="00000000" w:rsidRPr="00000000" w14:paraId="0000001F">
      <w:pPr>
        <w:ind w:left="720" w:firstLine="0"/>
        <w:rPr/>
      </w:pPr>
      <w:r w:rsidDel="00000000" w:rsidR="00000000" w:rsidRPr="00000000">
        <w:rPr>
          <w:rtl w:val="0"/>
        </w:rPr>
        <w:t xml:space="preserve">Detail any first-year activities that supported FY26’s funding to expand the local BBBS mentoring program. Responses should include plans to continue planned outreach, program or partnership development, and any capacity-building support needed to increase the number of youth receiving mentoring services for FY27.</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Racial Wealth Gap (as applicable)</w:t>
      </w:r>
    </w:p>
    <w:p w:rsidR="00000000" w:rsidDel="00000000" w:rsidP="00000000" w:rsidRDefault="00000000" w:rsidRPr="00000000" w14:paraId="00000021">
      <w:pPr>
        <w:ind w:left="720" w:firstLine="0"/>
        <w:rPr/>
      </w:pPr>
      <w:r w:rsidDel="00000000" w:rsidR="00000000" w:rsidRPr="00000000">
        <w:rPr>
          <w:rtl w:val="0"/>
        </w:rPr>
        <w:t xml:space="preserve">Describe how the LMB will contribute to the closing of the racial wealth gap through efforts that build community wealth, support asset accumulation, build savings, and reduce debt.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Part 4</w:t>
        <w:tab/>
        <w:t xml:space="preserve">Progress and Outcomes</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Using the </w:t>
      </w:r>
      <w:r w:rsidDel="00000000" w:rsidR="00000000" w:rsidRPr="00000000">
        <w:rPr>
          <w:b w:val="1"/>
          <w:bCs w:val="1"/>
          <w:rtl w:val="0"/>
        </w:rPr>
        <w:t xml:space="preserve">CCIF-funded programs and strategies template</w:t>
      </w:r>
      <w:r w:rsidDel="00000000" w:rsidR="00000000" w:rsidRPr="00000000">
        <w:rPr>
          <w:rtl w:val="0"/>
        </w:rPr>
        <w:t xml:space="preserve"> (tab 2), please provide a high level summary of significant wins, progress/outcomes, and lessons learned.</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Provide any additional feedback about obstacles and challenges you encountered in FY27 that may have impeded progress or limited the capacity of the LMB to reach its annual goals.</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Describe how your LMB uses qualitative and quantitative data to advise program design, monitor progress, and inform your community about local wins and opportunities.</w:t>
      </w:r>
    </w:p>
    <w:p w:rsidR="00000000" w:rsidDel="00000000" w:rsidP="00000000" w:rsidRDefault="00000000" w:rsidRPr="00000000" w14:paraId="00000027">
      <w:pPr>
        <w:numPr>
          <w:ilvl w:val="1"/>
          <w:numId w:val="1"/>
        </w:numPr>
        <w:ind w:left="1440" w:hanging="360"/>
      </w:pPr>
      <w:r w:rsidDel="00000000" w:rsidR="00000000" w:rsidRPr="00000000">
        <w:rPr>
          <w:rtl w:val="0"/>
        </w:rPr>
        <w:t xml:space="preserve">Provide examples of how and when the LMB convenes partners or community stakeholders to share data insights, including discussions of progress, challenges, lessons learned, and strategic pivots.</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Using the </w:t>
      </w:r>
      <w:r w:rsidDel="00000000" w:rsidR="00000000" w:rsidRPr="00000000">
        <w:rPr>
          <w:b w:val="1"/>
          <w:bCs w:val="1"/>
          <w:rtl w:val="0"/>
        </w:rPr>
        <w:t xml:space="preserve">CCIF-funded programs and strategies template</w:t>
      </w:r>
      <w:r w:rsidDel="00000000" w:rsidR="00000000" w:rsidRPr="00000000">
        <w:rPr>
          <w:rtl w:val="0"/>
        </w:rPr>
        <w:t xml:space="preserve"> (pg. 3) identify all performance measures, including the numerators and denominators for calculations, under each of the three headings (How Much, How Well, Better Off).</w:t>
      </w:r>
    </w:p>
    <w:sectPr>
      <w:headerReference r:id="rId6" w:type="default"/>
      <w:footerReference r:id="rId7" w:type="default"/>
      <w:pgSz w:h="15840" w:w="12240" w:orient="portrait"/>
      <w:pgMar w:bottom="1699.1999999999998" w:top="979.2" w:left="1440" w:right="146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widowControl w:val="0"/>
      <w:spacing w:line="240" w:lineRule="auto"/>
      <w:jc w:val="center"/>
      <w:rPr>
        <w:b w:val="1"/>
        <w:bCs w:val="1"/>
      </w:rPr>
    </w:pPr>
    <w:r w:rsidDel="00000000" w:rsidR="00000000" w:rsidRPr="00000000">
      <w:rPr>
        <w:b w:val="1"/>
        <w:bCs w:val="1"/>
        <w:rtl w:val="0"/>
      </w:rPr>
      <w:t xml:space="preserve">FY27 CCIF Project Narrative Template</w:t>
    </w:r>
  </w:p>
  <w:p w:rsidR="00000000" w:rsidDel="00000000" w:rsidP="00000000" w:rsidRDefault="00000000" w:rsidRPr="00000000" w14:paraId="0000002A">
    <w:pPr>
      <w:widowControl w:val="0"/>
      <w:spacing w:line="240" w:lineRule="auto"/>
      <w:jc w:val="cente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209207C51724BAC982B8EFC5FB25E" ma:contentTypeVersion="1" ma:contentTypeDescription="Create a new document." ma:contentTypeScope="" ma:versionID="d6cc76ef7d27f3809aec8df52dbb56d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0F9E-E46F-439D-AAD0-460020D6859A}"/>
</file>

<file path=customXml/itemProps2.xml><?xml version="1.0" encoding="utf-8"?>
<ds:datastoreItem xmlns:ds="http://schemas.openxmlformats.org/officeDocument/2006/customXml" ds:itemID="{C941FA54-2B12-4696-8980-BABA1DEB16F0}"/>
</file>

<file path=customXml/itemProps3.xml><?xml version="1.0" encoding="utf-8"?>
<ds:datastoreItem xmlns:ds="http://schemas.openxmlformats.org/officeDocument/2006/customXml" ds:itemID="{E6FA46EC-D986-41CD-AECF-D45A69B84EE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0x010100DE9209207C51724BAC982B8EFC5FB25E</vt:lpwstr>
  </property>
</Properties>
</file>